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Manutenzioni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e straordinari di tutto il patrimonio comunale (scuole, edifici, strade, cimiteri, ecc.), dell'adeguamento alle norme di sicurezza degli impianti tecnologici, dell'abbattimento delle barriere architettoniche; della gestione illuminazione pubblica, pulizia strade, sgombero neve, spargimento sale antighiaccio e arredo urbano.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alla manomissione dei sedimi delle vie, strade, piazze, ecc. di proprieta'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manutenzioni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mezzi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