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Qualita' e innovazione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programmazione delle attivita' inerenti la qualita', annualmente approvata, in coerenza con il vigente Regolamento dei controlli, con apposita deliberazione e poi declinata negli strumenti di programmazione dei settori interessati (PEG e PDO).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realizzazione dei Piani di lavoro cosi' definiti persegue obiettivi di sviluppo della qualita', promuovendo concrete applicazioni degli strumenti e dei modelli utili a migliorare i servizi offerti e a innovare le forme gestionali e organizzative dei diversi Settori dell'Ente, la progettazione e definizione di modelli, metodologie e strumenti di analisi condivisi ed omogenei per quanto riguarda i differenti ambiti di intervento; confronto all'esterno focalizzando la soddisfazione degli utenti tramite l'applicazione efficace del sistema.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Qualita' e innovazione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