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le richieste di copia rapporti di incidente stradale al diretto interessato;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difesa dell'Ente nei ricorsi al Prefetto/Giudice di Pace avverso sanzioni Codice della Strada;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cura le richieste di segnalazioni e sopralluogo da parte di cittadini;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 autorizzazioni passi carrai;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informazioni generali sul codice della strada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Calcolo e stima entrate da sanzioni per formazione bilancio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del contenzioso GdP e Tribunale alla difesa esterna mediante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 in proprio: elaborazione controdeduzioni per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contenzioso: Udienze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Contrassegno per veicoli esclusivamente elettrici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Annullamento d'ufficio di verbali per violazioni a norme di legge nazionale o regionale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di confisca e provvedimenti di dissequestro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Sequestri denaro o cose ai sensi del Reg. di P.U.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per occupazione temporanee di suolo pubblico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Controllo autorizzazioni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Ordinanza di ingiunzione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di occupazione suolo pubblico in aree verdi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